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A108F" w14:textId="77777777" w:rsidR="00D56636" w:rsidRDefault="00000000">
      <w:pPr>
        <w:spacing w:before="157" w:after="157" w:line="270" w:lineRule="auto"/>
      </w:pPr>
      <w:bookmarkStart w:id="0" w:name="google_2026_readiness_checklist"/>
      <w:r>
        <w:rPr>
          <w:rFonts w:eastAsia="Georgia" w:hAnsi="Georgia" w:cs="Georgia"/>
          <w:b/>
          <w:color w:val="000000"/>
          <w:sz w:val="39"/>
        </w:rPr>
        <w:t>Google 2026 Readiness Checklist</w:t>
      </w:r>
      <w:bookmarkEnd w:id="0"/>
    </w:p>
    <w:p w14:paraId="544C8DEF" w14:textId="77777777" w:rsidR="00D56636" w:rsidRDefault="00000000">
      <w:pPr>
        <w:spacing w:before="315" w:after="105" w:line="360" w:lineRule="auto"/>
        <w:ind w:left="-30"/>
      </w:pPr>
      <w:bookmarkStart w:id="1" w:name="disclaimer"/>
      <w:r>
        <w:rPr>
          <w:rFonts w:eastAsia="Georgia" w:hAnsi="Georgia" w:cs="Georgia"/>
          <w:b/>
          <w:color w:val="000000"/>
          <w:sz w:val="24"/>
        </w:rPr>
        <w:t>Disclaimer</w:t>
      </w:r>
      <w:bookmarkEnd w:id="1"/>
    </w:p>
    <w:p w14:paraId="17EDE4B7" w14:textId="77777777" w:rsidR="00D56636" w:rsidRDefault="00000000">
      <w:pPr>
        <w:spacing w:after="210" w:line="360" w:lineRule="auto"/>
      </w:pPr>
      <w:r>
        <w:rPr>
          <w:rFonts w:eastAsia="Georgia" w:hAnsi="Georgia" w:cs="Georgia"/>
          <w:color w:val="000000"/>
        </w:rPr>
        <w:t>This checklist is for informational purposes only and does not constitute legal advice or formal compliance guidance. Always review Google’s official documentation and consult your legal, privacy, or compliance team before making policy, product, or campaign decisions.</w:t>
      </w:r>
    </w:p>
    <w:p w14:paraId="1C6C009F" w14:textId="77777777" w:rsidR="00D56636" w:rsidRDefault="00000000">
      <w:pPr>
        <w:spacing w:before="315" w:after="105" w:line="360" w:lineRule="auto"/>
        <w:ind w:left="-30"/>
      </w:pPr>
      <w:bookmarkStart w:id="2" w:name="bm_90_day_sprint_checklist"/>
      <w:r>
        <w:rPr>
          <w:rFonts w:eastAsia="Georgia" w:hAnsi="Georgia" w:cs="Georgia"/>
          <w:b/>
          <w:color w:val="000000"/>
          <w:sz w:val="24"/>
        </w:rPr>
        <w:t>90-Day Sprint Checklist</w:t>
      </w:r>
      <w:bookmarkEnd w:id="2"/>
    </w:p>
    <w:p w14:paraId="766099D1" w14:textId="77777777" w:rsidR="00D56636" w:rsidRDefault="00000000">
      <w:pPr>
        <w:spacing w:after="210" w:line="360" w:lineRule="auto"/>
      </w:pPr>
      <w:r>
        <w:rPr>
          <w:rFonts w:eastAsia="Georgia" w:hAnsi="Georgia" w:cs="Georgia"/>
          <w:color w:val="000000"/>
        </w:rPr>
        <w:t>Use this as a working checklist for marketing, product, legal, and operations teams.</w:t>
      </w:r>
    </w:p>
    <w:p w14:paraId="72F9E0C2" w14:textId="77777777" w:rsidR="00D56636" w:rsidRDefault="00000000">
      <w:pPr>
        <w:spacing w:before="315" w:after="105" w:line="360" w:lineRule="auto"/>
        <w:ind w:left="-30"/>
      </w:pPr>
      <w:bookmarkStart w:id="3" w:name="data_and_privacy_readiness"/>
      <w:r>
        <w:rPr>
          <w:rFonts w:eastAsia="Georgia" w:hAnsi="Georgia" w:cs="Georgia"/>
          <w:b/>
          <w:color w:val="000000"/>
          <w:sz w:val="24"/>
        </w:rPr>
        <w:t>Data and privacy readiness</w:t>
      </w:r>
      <w:bookmarkEnd w:id="3"/>
    </w:p>
    <w:p w14:paraId="773059CD" w14:textId="77777777" w:rsidR="00D56636" w:rsidRDefault="00000000" w:rsidP="004E77A6">
      <w:pPr>
        <w:numPr>
          <w:ilvl w:val="0"/>
          <w:numId w:val="9"/>
        </w:numPr>
        <w:spacing w:before="105" w:after="105" w:line="360" w:lineRule="auto"/>
      </w:pPr>
      <w:r>
        <w:rPr>
          <w:rFonts w:eastAsia="Georgia" w:hAnsi="Georgia" w:cs="Georgia"/>
          <w:color w:val="000000"/>
        </w:rPr>
        <w:t>Review every place data is collected across web forms, apps, lead generation flows, and landing pages.</w:t>
      </w:r>
    </w:p>
    <w:p w14:paraId="14F1F9E6" w14:textId="77777777" w:rsidR="00D56636" w:rsidRDefault="00000000" w:rsidP="004E77A6">
      <w:pPr>
        <w:numPr>
          <w:ilvl w:val="0"/>
          <w:numId w:val="9"/>
        </w:numPr>
        <w:spacing w:before="105" w:after="105" w:line="360" w:lineRule="auto"/>
      </w:pPr>
      <w:r>
        <w:rPr>
          <w:rFonts w:eastAsia="Georgia" w:hAnsi="Georgia" w:cs="Georgia"/>
          <w:color w:val="000000"/>
        </w:rPr>
        <w:t>Remove fields and permissions that are not truly necessary.</w:t>
      </w:r>
    </w:p>
    <w:p w14:paraId="220C99BD" w14:textId="77777777" w:rsidR="00D56636" w:rsidRDefault="00000000" w:rsidP="004E77A6">
      <w:pPr>
        <w:numPr>
          <w:ilvl w:val="0"/>
          <w:numId w:val="9"/>
        </w:numPr>
        <w:spacing w:before="105" w:after="105" w:line="360" w:lineRule="auto"/>
      </w:pPr>
      <w:r>
        <w:rPr>
          <w:rFonts w:eastAsia="Georgia" w:hAnsi="Georgia" w:cs="Georgia"/>
          <w:color w:val="000000"/>
        </w:rPr>
        <w:t>Confirm app contact access uses user-initiated sharing where possible rather than broad address book access.</w:t>
      </w:r>
    </w:p>
    <w:p w14:paraId="5872AF71" w14:textId="77777777" w:rsidR="00D56636" w:rsidRDefault="00000000" w:rsidP="004E77A6">
      <w:pPr>
        <w:numPr>
          <w:ilvl w:val="0"/>
          <w:numId w:val="9"/>
        </w:numPr>
        <w:spacing w:before="105" w:after="105" w:line="360" w:lineRule="auto"/>
      </w:pPr>
      <w:r>
        <w:rPr>
          <w:rFonts w:eastAsia="Georgia" w:hAnsi="Georgia" w:cs="Georgia"/>
          <w:color w:val="000000"/>
        </w:rPr>
        <w:t>Confirm location use is limited to the minimum necessary precision and frequency, with clear user disclosures.</w:t>
      </w:r>
    </w:p>
    <w:p w14:paraId="42C15C57" w14:textId="77777777" w:rsidR="00D56636" w:rsidRDefault="00000000" w:rsidP="004E77A6">
      <w:pPr>
        <w:numPr>
          <w:ilvl w:val="0"/>
          <w:numId w:val="9"/>
        </w:numPr>
        <w:spacing w:before="105" w:after="105" w:line="360" w:lineRule="auto"/>
      </w:pPr>
      <w:r>
        <w:rPr>
          <w:rFonts w:eastAsia="Georgia" w:hAnsi="Georgia" w:cs="Georgia"/>
          <w:color w:val="000000"/>
        </w:rPr>
        <w:t>Update privacy notices and in-product language so they accurately reflect what is collected and why.</w:t>
      </w:r>
    </w:p>
    <w:p w14:paraId="0F004ABA" w14:textId="77777777" w:rsidR="00D56636" w:rsidRDefault="00000000" w:rsidP="004E77A6">
      <w:pPr>
        <w:numPr>
          <w:ilvl w:val="0"/>
          <w:numId w:val="9"/>
        </w:numPr>
        <w:spacing w:before="105" w:after="105" w:line="360" w:lineRule="auto"/>
      </w:pPr>
      <w:r>
        <w:rPr>
          <w:rFonts w:eastAsia="Georgia" w:hAnsi="Georgia" w:cs="Georgia"/>
          <w:color w:val="000000"/>
        </w:rPr>
        <w:t>Make sure consent preferences are stored and honored across email, ads, analytics, and CRM tools.</w:t>
      </w:r>
    </w:p>
    <w:p w14:paraId="193F823C" w14:textId="77777777" w:rsidR="00D56636" w:rsidRDefault="00000000" w:rsidP="004E77A6">
      <w:pPr>
        <w:numPr>
          <w:ilvl w:val="0"/>
          <w:numId w:val="9"/>
        </w:numPr>
        <w:spacing w:before="105" w:after="105" w:line="360" w:lineRule="auto"/>
      </w:pPr>
      <w:r>
        <w:rPr>
          <w:rFonts w:eastAsia="Georgia" w:hAnsi="Georgia" w:cs="Georgia"/>
          <w:color w:val="000000"/>
        </w:rPr>
        <w:t>Create a short list of risky data practices to redesign or retire this year.</w:t>
      </w:r>
    </w:p>
    <w:p w14:paraId="34740845" w14:textId="77777777" w:rsidR="00D56636" w:rsidRDefault="00000000">
      <w:pPr>
        <w:spacing w:before="315" w:after="105" w:line="360" w:lineRule="auto"/>
        <w:ind w:left="-30"/>
      </w:pPr>
      <w:bookmarkStart w:id="4" w:name="tracking_measurement_and_signals"/>
      <w:r>
        <w:rPr>
          <w:rFonts w:eastAsia="Georgia" w:hAnsi="Georgia" w:cs="Georgia"/>
          <w:b/>
          <w:color w:val="000000"/>
          <w:sz w:val="24"/>
        </w:rPr>
        <w:t>Tracking, measurement, and signals</w:t>
      </w:r>
      <w:bookmarkEnd w:id="4"/>
    </w:p>
    <w:p w14:paraId="626E1C0D" w14:textId="77777777" w:rsidR="00D56636" w:rsidRDefault="00000000" w:rsidP="004E77A6">
      <w:pPr>
        <w:numPr>
          <w:ilvl w:val="0"/>
          <w:numId w:val="10"/>
        </w:numPr>
        <w:spacing w:before="105" w:after="105" w:line="360" w:lineRule="auto"/>
      </w:pPr>
      <w:r>
        <w:rPr>
          <w:rFonts w:eastAsia="Georgia" w:hAnsi="Georgia" w:cs="Georgia"/>
          <w:color w:val="000000"/>
        </w:rPr>
        <w:t>Audit conversion tracking across web and app experiences.</w:t>
      </w:r>
    </w:p>
    <w:p w14:paraId="35370886" w14:textId="77777777" w:rsidR="00D56636" w:rsidRDefault="00000000" w:rsidP="004E77A6">
      <w:pPr>
        <w:numPr>
          <w:ilvl w:val="0"/>
          <w:numId w:val="10"/>
        </w:numPr>
        <w:spacing w:before="105" w:after="105" w:line="360" w:lineRule="auto"/>
      </w:pPr>
      <w:r>
        <w:rPr>
          <w:rFonts w:eastAsia="Georgia" w:hAnsi="Georgia" w:cs="Georgia"/>
          <w:color w:val="000000"/>
        </w:rPr>
        <w:t>Confirm all primary conversions fire correctly and consistently.</w:t>
      </w:r>
    </w:p>
    <w:p w14:paraId="1B4EC271" w14:textId="77777777" w:rsidR="00D56636" w:rsidRDefault="00000000" w:rsidP="004E77A6">
      <w:pPr>
        <w:numPr>
          <w:ilvl w:val="0"/>
          <w:numId w:val="10"/>
        </w:numPr>
        <w:spacing w:before="105" w:after="105" w:line="360" w:lineRule="auto"/>
      </w:pPr>
      <w:r>
        <w:rPr>
          <w:rFonts w:eastAsia="Georgia" w:hAnsi="Georgia" w:cs="Georgia"/>
          <w:color w:val="000000"/>
        </w:rPr>
        <w:t>Check for missing, duplicated, or low-value conversion events.</w:t>
      </w:r>
    </w:p>
    <w:p w14:paraId="378620A6" w14:textId="77777777" w:rsidR="00D56636" w:rsidRDefault="00000000" w:rsidP="004E77A6">
      <w:pPr>
        <w:numPr>
          <w:ilvl w:val="0"/>
          <w:numId w:val="10"/>
        </w:numPr>
        <w:spacing w:before="105" w:after="105" w:line="360" w:lineRule="auto"/>
      </w:pPr>
      <w:r>
        <w:rPr>
          <w:rFonts w:eastAsia="Georgia" w:hAnsi="Georgia" w:cs="Georgia"/>
          <w:color w:val="000000"/>
        </w:rPr>
        <w:t>Verify ad platforms are receiving accurate online and offline conversion data where relevant.</w:t>
      </w:r>
    </w:p>
    <w:p w14:paraId="2F9F519A" w14:textId="77777777" w:rsidR="00D56636" w:rsidRDefault="00000000" w:rsidP="004E77A6">
      <w:pPr>
        <w:numPr>
          <w:ilvl w:val="0"/>
          <w:numId w:val="10"/>
        </w:numPr>
        <w:spacing w:before="105" w:after="105" w:line="360" w:lineRule="auto"/>
      </w:pPr>
      <w:r>
        <w:rPr>
          <w:rFonts w:eastAsia="Georgia" w:hAnsi="Georgia" w:cs="Georgia"/>
          <w:color w:val="000000"/>
        </w:rPr>
        <w:t>Align analytics settings with current consent and privacy requirements.</w:t>
      </w:r>
    </w:p>
    <w:p w14:paraId="0E0A5DDC" w14:textId="77777777" w:rsidR="00D56636" w:rsidRDefault="00000000" w:rsidP="004E77A6">
      <w:pPr>
        <w:numPr>
          <w:ilvl w:val="0"/>
          <w:numId w:val="11"/>
        </w:numPr>
        <w:spacing w:before="105" w:after="105" w:line="360" w:lineRule="auto"/>
      </w:pPr>
      <w:r>
        <w:rPr>
          <w:rFonts w:eastAsia="Georgia" w:hAnsi="Georgia" w:cs="Georgia"/>
          <w:color w:val="000000"/>
        </w:rPr>
        <w:lastRenderedPageBreak/>
        <w:t xml:space="preserve">Define 2 to 3 north-star metrics for Google performance, such as qualified pipeline, booked </w:t>
      </w:r>
      <w:proofErr w:type="gramStart"/>
      <w:r>
        <w:rPr>
          <w:rFonts w:eastAsia="Georgia" w:hAnsi="Georgia" w:cs="Georgia"/>
          <w:color w:val="000000"/>
        </w:rPr>
        <w:t>consults</w:t>
      </w:r>
      <w:proofErr w:type="gramEnd"/>
      <w:r>
        <w:rPr>
          <w:rFonts w:eastAsia="Georgia" w:hAnsi="Georgia" w:cs="Georgia"/>
          <w:color w:val="000000"/>
        </w:rPr>
        <w:t>, or trials started.</w:t>
      </w:r>
    </w:p>
    <w:p w14:paraId="3EBF7D64" w14:textId="77777777" w:rsidR="00D56636" w:rsidRDefault="00000000" w:rsidP="004E77A6">
      <w:pPr>
        <w:numPr>
          <w:ilvl w:val="0"/>
          <w:numId w:val="11"/>
        </w:numPr>
        <w:spacing w:before="105" w:after="105" w:line="360" w:lineRule="auto"/>
      </w:pPr>
      <w:r>
        <w:rPr>
          <w:rFonts w:eastAsia="Georgia" w:hAnsi="Georgia" w:cs="Georgia"/>
          <w:color w:val="000000"/>
        </w:rPr>
        <w:t>Remove vanity conversions that confuse optimization.</w:t>
      </w:r>
    </w:p>
    <w:p w14:paraId="533A2F35" w14:textId="77777777" w:rsidR="00D56636" w:rsidRDefault="00000000">
      <w:pPr>
        <w:spacing w:before="315" w:after="105" w:line="360" w:lineRule="auto"/>
        <w:ind w:left="-30"/>
      </w:pPr>
      <w:bookmarkStart w:id="5" w:name="reviews_and_reputation"/>
      <w:r>
        <w:rPr>
          <w:rFonts w:eastAsia="Georgia" w:hAnsi="Georgia" w:cs="Georgia"/>
          <w:b/>
          <w:color w:val="000000"/>
          <w:sz w:val="24"/>
        </w:rPr>
        <w:t>Reviews and reputation</w:t>
      </w:r>
      <w:bookmarkEnd w:id="5"/>
    </w:p>
    <w:p w14:paraId="7A31E1D6" w14:textId="77777777" w:rsidR="00D56636" w:rsidRDefault="00000000" w:rsidP="004E77A6">
      <w:pPr>
        <w:numPr>
          <w:ilvl w:val="0"/>
          <w:numId w:val="12"/>
        </w:numPr>
        <w:spacing w:before="105" w:after="105" w:line="360" w:lineRule="auto"/>
      </w:pPr>
      <w:r>
        <w:rPr>
          <w:rFonts w:eastAsia="Georgia" w:hAnsi="Georgia" w:cs="Georgia"/>
          <w:color w:val="000000"/>
        </w:rPr>
        <w:t>Map all critical review surfaces, including Google Business Profiles, app stores, and key third-party review platforms.</w:t>
      </w:r>
    </w:p>
    <w:p w14:paraId="66B1C9EC" w14:textId="77777777" w:rsidR="00D56636" w:rsidRDefault="00000000" w:rsidP="004E77A6">
      <w:pPr>
        <w:numPr>
          <w:ilvl w:val="0"/>
          <w:numId w:val="12"/>
        </w:numPr>
        <w:spacing w:before="105" w:after="105" w:line="360" w:lineRule="auto"/>
      </w:pPr>
      <w:r>
        <w:rPr>
          <w:rFonts w:eastAsia="Georgia" w:hAnsi="Georgia" w:cs="Georgia"/>
          <w:color w:val="000000"/>
        </w:rPr>
        <w:t>Check that business information, categories, and branding are consistent across profiles.</w:t>
      </w:r>
    </w:p>
    <w:p w14:paraId="4D9C5440" w14:textId="77777777" w:rsidR="00D56636" w:rsidRDefault="00000000" w:rsidP="004E77A6">
      <w:pPr>
        <w:numPr>
          <w:ilvl w:val="0"/>
          <w:numId w:val="12"/>
        </w:numPr>
        <w:spacing w:before="105" w:after="105" w:line="360" w:lineRule="auto"/>
      </w:pPr>
      <w:r>
        <w:rPr>
          <w:rFonts w:eastAsia="Georgia" w:hAnsi="Georgia" w:cs="Georgia"/>
          <w:color w:val="000000"/>
        </w:rPr>
        <w:t>Review current review generation tactics for anything that looks like gating, scripting, or manipulation.</w:t>
      </w:r>
    </w:p>
    <w:p w14:paraId="0158FC36" w14:textId="77777777" w:rsidR="00D56636" w:rsidRDefault="00000000" w:rsidP="004E77A6">
      <w:pPr>
        <w:numPr>
          <w:ilvl w:val="0"/>
          <w:numId w:val="12"/>
        </w:numPr>
        <w:spacing w:before="105" w:after="105" w:line="360" w:lineRule="auto"/>
      </w:pPr>
      <w:r>
        <w:rPr>
          <w:rFonts w:eastAsia="Georgia" w:hAnsi="Georgia" w:cs="Georgia"/>
          <w:color w:val="000000"/>
        </w:rPr>
        <w:t>Build a simple review request process tied to natural customer moments such as onboarding, purchase, renewal, or support resolution.</w:t>
      </w:r>
    </w:p>
    <w:p w14:paraId="4DD058BE" w14:textId="77777777" w:rsidR="00D56636" w:rsidRDefault="00000000" w:rsidP="004E77A6">
      <w:pPr>
        <w:numPr>
          <w:ilvl w:val="0"/>
          <w:numId w:val="12"/>
        </w:numPr>
        <w:spacing w:before="105" w:after="105" w:line="360" w:lineRule="auto"/>
      </w:pPr>
      <w:r>
        <w:rPr>
          <w:rFonts w:eastAsia="Georgia" w:hAnsi="Georgia" w:cs="Georgia"/>
          <w:color w:val="000000"/>
        </w:rPr>
        <w:t>Set 90-day review goals for volume, rating quality, and response time.</w:t>
      </w:r>
    </w:p>
    <w:p w14:paraId="4CE9428C" w14:textId="77777777" w:rsidR="00D56636" w:rsidRDefault="00000000" w:rsidP="004E77A6">
      <w:pPr>
        <w:numPr>
          <w:ilvl w:val="0"/>
          <w:numId w:val="12"/>
        </w:numPr>
        <w:spacing w:before="105" w:after="105" w:line="360" w:lineRule="auto"/>
      </w:pPr>
      <w:r>
        <w:rPr>
          <w:rFonts w:eastAsia="Georgia" w:hAnsi="Georgia" w:cs="Georgia"/>
          <w:color w:val="000000"/>
        </w:rPr>
        <w:t xml:space="preserve">Assign one owner </w:t>
      </w:r>
      <w:proofErr w:type="gramStart"/>
      <w:r>
        <w:rPr>
          <w:rFonts w:eastAsia="Georgia" w:hAnsi="Georgia" w:cs="Georgia"/>
          <w:color w:val="000000"/>
        </w:rPr>
        <w:t>for</w:t>
      </w:r>
      <w:proofErr w:type="gramEnd"/>
      <w:r>
        <w:rPr>
          <w:rFonts w:eastAsia="Georgia" w:hAnsi="Georgia" w:cs="Georgia"/>
          <w:color w:val="000000"/>
        </w:rPr>
        <w:t xml:space="preserve"> review monitoring and response workflows.</w:t>
      </w:r>
    </w:p>
    <w:p w14:paraId="2BAACBC7" w14:textId="77777777" w:rsidR="00D56636" w:rsidRDefault="00000000">
      <w:pPr>
        <w:spacing w:before="315" w:after="105" w:line="360" w:lineRule="auto"/>
        <w:ind w:left="-30"/>
      </w:pPr>
      <w:bookmarkStart w:id="6" w:name="account_and_campaign_structure"/>
      <w:r>
        <w:rPr>
          <w:rFonts w:eastAsia="Georgia" w:hAnsi="Georgia" w:cs="Georgia"/>
          <w:b/>
          <w:color w:val="000000"/>
          <w:sz w:val="24"/>
        </w:rPr>
        <w:t>Account and campaign structure</w:t>
      </w:r>
      <w:bookmarkEnd w:id="6"/>
    </w:p>
    <w:p w14:paraId="52585FBE" w14:textId="77777777" w:rsidR="00D56636" w:rsidRDefault="00000000" w:rsidP="004E77A6">
      <w:pPr>
        <w:numPr>
          <w:ilvl w:val="0"/>
          <w:numId w:val="13"/>
        </w:numPr>
        <w:spacing w:before="105" w:after="105" w:line="360" w:lineRule="auto"/>
      </w:pPr>
      <w:r>
        <w:rPr>
          <w:rFonts w:eastAsia="Georgia" w:hAnsi="Georgia" w:cs="Georgia"/>
          <w:color w:val="000000"/>
        </w:rPr>
        <w:t>Inventory legacy campaign types, including Dynamic Search Ads and older account structures.</w:t>
      </w:r>
    </w:p>
    <w:p w14:paraId="235DDCAF" w14:textId="77777777" w:rsidR="00D56636" w:rsidRDefault="00000000" w:rsidP="004E77A6">
      <w:pPr>
        <w:numPr>
          <w:ilvl w:val="0"/>
          <w:numId w:val="13"/>
        </w:numPr>
        <w:spacing w:before="105" w:after="105" w:line="360" w:lineRule="auto"/>
      </w:pPr>
      <w:r>
        <w:rPr>
          <w:rFonts w:eastAsia="Georgia" w:hAnsi="Georgia" w:cs="Georgia"/>
          <w:color w:val="000000"/>
        </w:rPr>
        <w:t>Identify which campaigns are already using Performance Max or newer Search automation.</w:t>
      </w:r>
    </w:p>
    <w:p w14:paraId="62E7E530" w14:textId="77777777" w:rsidR="00D56636" w:rsidRDefault="00000000" w:rsidP="004E77A6">
      <w:pPr>
        <w:numPr>
          <w:ilvl w:val="0"/>
          <w:numId w:val="13"/>
        </w:numPr>
        <w:spacing w:before="105" w:after="105" w:line="360" w:lineRule="auto"/>
      </w:pPr>
      <w:r>
        <w:rPr>
          <w:rFonts w:eastAsia="Georgia" w:hAnsi="Georgia" w:cs="Georgia"/>
          <w:color w:val="000000"/>
        </w:rPr>
        <w:t>Define a migration path into AI-driven campaign structures where appropriate.</w:t>
      </w:r>
    </w:p>
    <w:p w14:paraId="75504471" w14:textId="77777777" w:rsidR="00D56636" w:rsidRDefault="00000000" w:rsidP="004E77A6">
      <w:pPr>
        <w:numPr>
          <w:ilvl w:val="0"/>
          <w:numId w:val="13"/>
        </w:numPr>
        <w:spacing w:before="105" w:after="105" w:line="360" w:lineRule="auto"/>
      </w:pPr>
      <w:r>
        <w:rPr>
          <w:rFonts w:eastAsia="Georgia" w:hAnsi="Georgia" w:cs="Georgia"/>
          <w:color w:val="000000"/>
        </w:rPr>
        <w:t>List the creative assets needed for stronger automation inputs, including headlines, descriptions, images, and video.</w:t>
      </w:r>
    </w:p>
    <w:p w14:paraId="235E935F" w14:textId="77777777" w:rsidR="00D56636" w:rsidRDefault="00000000" w:rsidP="004E77A6">
      <w:pPr>
        <w:numPr>
          <w:ilvl w:val="0"/>
          <w:numId w:val="13"/>
        </w:numPr>
        <w:spacing w:before="105" w:after="105" w:line="360" w:lineRule="auto"/>
      </w:pPr>
      <w:r>
        <w:rPr>
          <w:rFonts w:eastAsia="Georgia" w:hAnsi="Georgia" w:cs="Georgia"/>
          <w:color w:val="000000"/>
        </w:rPr>
        <w:t xml:space="preserve">Review landing pages to ensure they clearly match offers, audiences, and </w:t>
      </w:r>
      <w:proofErr w:type="gramStart"/>
      <w:r>
        <w:rPr>
          <w:rFonts w:eastAsia="Georgia" w:hAnsi="Georgia" w:cs="Georgia"/>
          <w:color w:val="000000"/>
        </w:rPr>
        <w:t>search</w:t>
      </w:r>
      <w:proofErr w:type="gramEnd"/>
      <w:r>
        <w:rPr>
          <w:rFonts w:eastAsia="Georgia" w:hAnsi="Georgia" w:cs="Georgia"/>
          <w:color w:val="000000"/>
        </w:rPr>
        <w:t xml:space="preserve"> intent.</w:t>
      </w:r>
    </w:p>
    <w:p w14:paraId="7E4861C6" w14:textId="77777777" w:rsidR="00D56636" w:rsidRDefault="00000000" w:rsidP="004E77A6">
      <w:pPr>
        <w:numPr>
          <w:ilvl w:val="0"/>
          <w:numId w:val="13"/>
        </w:numPr>
        <w:spacing w:before="105" w:after="105" w:line="360" w:lineRule="auto"/>
      </w:pPr>
      <w:r>
        <w:rPr>
          <w:rFonts w:eastAsia="Georgia" w:hAnsi="Georgia" w:cs="Georgia"/>
          <w:color w:val="000000"/>
        </w:rPr>
        <w:t>Clean up naming conventions, labels, and organization for better budget visibility.</w:t>
      </w:r>
    </w:p>
    <w:p w14:paraId="39DBE6F6" w14:textId="77777777" w:rsidR="00D56636" w:rsidRDefault="00000000" w:rsidP="004E77A6">
      <w:pPr>
        <w:numPr>
          <w:ilvl w:val="0"/>
          <w:numId w:val="13"/>
        </w:numPr>
        <w:spacing w:before="105" w:after="105" w:line="360" w:lineRule="auto"/>
      </w:pPr>
      <w:r>
        <w:rPr>
          <w:rFonts w:eastAsia="Georgia" w:hAnsi="Georgia" w:cs="Georgia"/>
          <w:color w:val="000000"/>
        </w:rPr>
        <w:t>Decide which campaigns will be controlled tests and which will be broader AI-led experiments.</w:t>
      </w:r>
    </w:p>
    <w:p w14:paraId="443832EC" w14:textId="77777777" w:rsidR="00D56636" w:rsidRDefault="00000000">
      <w:pPr>
        <w:spacing w:before="315" w:after="105" w:line="360" w:lineRule="auto"/>
        <w:ind w:left="-30"/>
      </w:pPr>
      <w:bookmarkStart w:id="7" w:name="policy_and_compliance_review"/>
      <w:r>
        <w:rPr>
          <w:rFonts w:eastAsia="Georgia" w:hAnsi="Georgia" w:cs="Georgia"/>
          <w:b/>
          <w:color w:val="000000"/>
          <w:sz w:val="24"/>
        </w:rPr>
        <w:t>Policy and compliance review</w:t>
      </w:r>
      <w:bookmarkEnd w:id="7"/>
    </w:p>
    <w:p w14:paraId="3B06737B" w14:textId="77777777" w:rsidR="00D56636" w:rsidRDefault="00000000" w:rsidP="004E77A6">
      <w:pPr>
        <w:numPr>
          <w:ilvl w:val="0"/>
          <w:numId w:val="14"/>
        </w:numPr>
        <w:spacing w:before="105" w:after="105" w:line="360" w:lineRule="auto"/>
      </w:pPr>
      <w:r>
        <w:rPr>
          <w:rFonts w:eastAsia="Georgia" w:hAnsi="Georgia" w:cs="Georgia"/>
          <w:color w:val="000000"/>
        </w:rPr>
        <w:t>Identify campaigns that touch healthcare, medicines, political content, finance, insurance, or other regulated categories.</w:t>
      </w:r>
    </w:p>
    <w:p w14:paraId="0189172B" w14:textId="77777777" w:rsidR="00D56636" w:rsidRDefault="00000000" w:rsidP="004E77A6">
      <w:pPr>
        <w:numPr>
          <w:ilvl w:val="0"/>
          <w:numId w:val="14"/>
        </w:numPr>
        <w:spacing w:before="105" w:after="105" w:line="360" w:lineRule="auto"/>
      </w:pPr>
      <w:r>
        <w:rPr>
          <w:rFonts w:eastAsia="Georgia" w:hAnsi="Georgia" w:cs="Georgia"/>
          <w:color w:val="000000"/>
        </w:rPr>
        <w:t>Review ad copy, landing pages, and targeting for compliance risk.</w:t>
      </w:r>
    </w:p>
    <w:p w14:paraId="034A8C2A" w14:textId="77777777" w:rsidR="00D56636" w:rsidRDefault="00000000" w:rsidP="004E77A6">
      <w:pPr>
        <w:numPr>
          <w:ilvl w:val="0"/>
          <w:numId w:val="14"/>
        </w:numPr>
        <w:spacing w:before="105" w:after="105" w:line="360" w:lineRule="auto"/>
      </w:pPr>
      <w:r>
        <w:rPr>
          <w:rFonts w:eastAsia="Georgia" w:hAnsi="Georgia" w:cs="Georgia"/>
          <w:color w:val="000000"/>
        </w:rPr>
        <w:t>Document internal red lines for claims, targeting, and messaging.</w:t>
      </w:r>
    </w:p>
    <w:p w14:paraId="5DEFDBEF" w14:textId="77777777" w:rsidR="00D56636" w:rsidRDefault="00000000" w:rsidP="004E77A6">
      <w:pPr>
        <w:numPr>
          <w:ilvl w:val="0"/>
          <w:numId w:val="14"/>
        </w:numPr>
        <w:spacing w:before="105" w:after="105" w:line="360" w:lineRule="auto"/>
      </w:pPr>
      <w:r>
        <w:rPr>
          <w:rFonts w:eastAsia="Georgia" w:hAnsi="Georgia" w:cs="Georgia"/>
          <w:color w:val="000000"/>
        </w:rPr>
        <w:lastRenderedPageBreak/>
        <w:t>Confirm escalation paths for disapprovals, suspensions, or policy reviews.</w:t>
      </w:r>
    </w:p>
    <w:p w14:paraId="55D53966" w14:textId="77777777" w:rsidR="00D56636" w:rsidRDefault="00000000" w:rsidP="004E77A6">
      <w:pPr>
        <w:numPr>
          <w:ilvl w:val="0"/>
          <w:numId w:val="14"/>
        </w:numPr>
        <w:spacing w:before="105" w:after="105" w:line="360" w:lineRule="auto"/>
      </w:pPr>
      <w:r>
        <w:rPr>
          <w:rFonts w:eastAsia="Georgia" w:hAnsi="Georgia" w:cs="Georgia"/>
          <w:color w:val="000000"/>
        </w:rPr>
        <w:t xml:space="preserve">Align campaign workflows with legal or compliance review </w:t>
      </w:r>
      <w:proofErr w:type="gramStart"/>
      <w:r>
        <w:rPr>
          <w:rFonts w:eastAsia="Georgia" w:hAnsi="Georgia" w:cs="Georgia"/>
          <w:color w:val="000000"/>
        </w:rPr>
        <w:t>where</w:t>
      </w:r>
      <w:proofErr w:type="gramEnd"/>
      <w:r>
        <w:rPr>
          <w:rFonts w:eastAsia="Georgia" w:hAnsi="Georgia" w:cs="Georgia"/>
          <w:color w:val="000000"/>
        </w:rPr>
        <w:t xml:space="preserve"> needed.</w:t>
      </w:r>
    </w:p>
    <w:p w14:paraId="7007D9EA" w14:textId="77777777" w:rsidR="00D56636" w:rsidRDefault="00000000">
      <w:pPr>
        <w:spacing w:before="315" w:after="105" w:line="360" w:lineRule="auto"/>
        <w:ind w:left="-30"/>
      </w:pPr>
      <w:bookmarkStart w:id="8" w:name="creative_and_content_inputs"/>
      <w:r>
        <w:rPr>
          <w:rFonts w:eastAsia="Georgia" w:hAnsi="Georgia" w:cs="Georgia"/>
          <w:b/>
          <w:color w:val="000000"/>
          <w:sz w:val="24"/>
        </w:rPr>
        <w:t>Creative and content inputs</w:t>
      </w:r>
      <w:bookmarkEnd w:id="8"/>
    </w:p>
    <w:p w14:paraId="783FDA5E" w14:textId="77777777" w:rsidR="00D56636" w:rsidRDefault="00000000" w:rsidP="004E77A6">
      <w:pPr>
        <w:numPr>
          <w:ilvl w:val="0"/>
          <w:numId w:val="15"/>
        </w:numPr>
        <w:spacing w:before="105" w:after="105" w:line="360" w:lineRule="auto"/>
      </w:pPr>
      <w:r>
        <w:rPr>
          <w:rFonts w:eastAsia="Georgia" w:hAnsi="Georgia" w:cs="Georgia"/>
          <w:color w:val="000000"/>
        </w:rPr>
        <w:t>Audit your current library of text, image, video, and feed assets.</w:t>
      </w:r>
    </w:p>
    <w:p w14:paraId="44A94BCC" w14:textId="77777777" w:rsidR="00D56636" w:rsidRDefault="00000000" w:rsidP="004E77A6">
      <w:pPr>
        <w:numPr>
          <w:ilvl w:val="0"/>
          <w:numId w:val="15"/>
        </w:numPr>
        <w:spacing w:before="105" w:after="105" w:line="360" w:lineRule="auto"/>
      </w:pPr>
      <w:r>
        <w:rPr>
          <w:rFonts w:eastAsia="Georgia" w:hAnsi="Georgia" w:cs="Georgia"/>
          <w:color w:val="000000"/>
        </w:rPr>
        <w:t>Identify gaps in coverage by audience, use case, product, or offer.</w:t>
      </w:r>
    </w:p>
    <w:p w14:paraId="2DCDB07F" w14:textId="77777777" w:rsidR="00D56636" w:rsidRDefault="00000000" w:rsidP="004E77A6">
      <w:pPr>
        <w:numPr>
          <w:ilvl w:val="0"/>
          <w:numId w:val="15"/>
        </w:numPr>
        <w:spacing w:before="105" w:after="105" w:line="360" w:lineRule="auto"/>
      </w:pPr>
      <w:r>
        <w:rPr>
          <w:rFonts w:eastAsia="Georgia" w:hAnsi="Georgia" w:cs="Georgia"/>
          <w:color w:val="000000"/>
        </w:rPr>
        <w:t>Refresh copy and creative so it reflects current positioning and proof points.</w:t>
      </w:r>
    </w:p>
    <w:p w14:paraId="46F8B461" w14:textId="77777777" w:rsidR="00D56636" w:rsidRDefault="00000000" w:rsidP="004E77A6">
      <w:pPr>
        <w:numPr>
          <w:ilvl w:val="0"/>
          <w:numId w:val="15"/>
        </w:numPr>
        <w:spacing w:before="105" w:after="105" w:line="360" w:lineRule="auto"/>
      </w:pPr>
      <w:r>
        <w:rPr>
          <w:rFonts w:eastAsia="Georgia" w:hAnsi="Georgia" w:cs="Georgia"/>
          <w:color w:val="000000"/>
        </w:rPr>
        <w:t>Make sure landing pages are clear, current, and aligned to campaign intent.</w:t>
      </w:r>
    </w:p>
    <w:p w14:paraId="4E2CC893" w14:textId="77777777" w:rsidR="00D56636" w:rsidRDefault="00000000" w:rsidP="004E77A6">
      <w:pPr>
        <w:numPr>
          <w:ilvl w:val="0"/>
          <w:numId w:val="15"/>
        </w:numPr>
        <w:spacing w:before="105" w:after="105" w:line="360" w:lineRule="auto"/>
      </w:pPr>
      <w:r>
        <w:rPr>
          <w:rFonts w:eastAsia="Georgia" w:hAnsi="Georgia" w:cs="Georgia"/>
          <w:color w:val="000000"/>
        </w:rPr>
        <w:t>Build enough asset variety to give AI-driven systems room to optimize.</w:t>
      </w:r>
    </w:p>
    <w:p w14:paraId="2717995A" w14:textId="77777777" w:rsidR="00D56636" w:rsidRDefault="00000000">
      <w:pPr>
        <w:spacing w:before="315" w:after="105" w:line="360" w:lineRule="auto"/>
        <w:ind w:left="-30"/>
      </w:pPr>
      <w:bookmarkStart w:id="9" w:name="governance_and_ownership"/>
      <w:r>
        <w:rPr>
          <w:rFonts w:eastAsia="Georgia" w:hAnsi="Georgia" w:cs="Georgia"/>
          <w:b/>
          <w:color w:val="000000"/>
          <w:sz w:val="24"/>
        </w:rPr>
        <w:t>Governance and ownership</w:t>
      </w:r>
      <w:bookmarkEnd w:id="9"/>
    </w:p>
    <w:p w14:paraId="4F62E564" w14:textId="77777777" w:rsidR="00D56636" w:rsidRDefault="00000000" w:rsidP="004E77A6">
      <w:pPr>
        <w:numPr>
          <w:ilvl w:val="0"/>
          <w:numId w:val="16"/>
        </w:numPr>
        <w:spacing w:before="105" w:after="105" w:line="360" w:lineRule="auto"/>
      </w:pPr>
      <w:r>
        <w:rPr>
          <w:rFonts w:eastAsia="Georgia" w:hAnsi="Georgia" w:cs="Georgia"/>
          <w:color w:val="000000"/>
        </w:rPr>
        <w:t>Assign a small cross-functional owner group across marketing, product, and compliance.</w:t>
      </w:r>
    </w:p>
    <w:p w14:paraId="2007030C" w14:textId="77777777" w:rsidR="00D56636" w:rsidRDefault="00000000" w:rsidP="004E77A6">
      <w:pPr>
        <w:numPr>
          <w:ilvl w:val="0"/>
          <w:numId w:val="16"/>
        </w:numPr>
        <w:spacing w:before="105" w:after="105" w:line="360" w:lineRule="auto"/>
      </w:pPr>
      <w:r>
        <w:rPr>
          <w:rFonts w:eastAsia="Georgia" w:hAnsi="Georgia" w:cs="Georgia"/>
          <w:color w:val="000000"/>
        </w:rPr>
        <w:t>Set a bi-weekly cadence for the 90-day sprint.</w:t>
      </w:r>
    </w:p>
    <w:p w14:paraId="480CB568" w14:textId="77777777" w:rsidR="00D56636" w:rsidRDefault="00000000" w:rsidP="004E77A6">
      <w:pPr>
        <w:numPr>
          <w:ilvl w:val="0"/>
          <w:numId w:val="16"/>
        </w:numPr>
        <w:spacing w:before="105" w:after="105" w:line="360" w:lineRule="auto"/>
      </w:pPr>
      <w:r>
        <w:rPr>
          <w:rFonts w:eastAsia="Georgia" w:hAnsi="Georgia" w:cs="Georgia"/>
          <w:color w:val="000000"/>
        </w:rPr>
        <w:t>Create a one-page internal brief summarizing the April 2026 changes and your response plan.</w:t>
      </w:r>
    </w:p>
    <w:p w14:paraId="2A982CA7" w14:textId="77777777" w:rsidR="00D56636" w:rsidRDefault="00000000" w:rsidP="004E77A6">
      <w:pPr>
        <w:numPr>
          <w:ilvl w:val="0"/>
          <w:numId w:val="16"/>
        </w:numPr>
        <w:spacing w:before="105" w:after="105" w:line="360" w:lineRule="auto"/>
      </w:pPr>
      <w:r>
        <w:rPr>
          <w:rFonts w:eastAsia="Georgia" w:hAnsi="Georgia" w:cs="Georgia"/>
          <w:color w:val="000000"/>
        </w:rPr>
        <w:t>Define success at the end of 90 days, such as fewer policy issues, cleaner tracking, stronger reviews, and a modernized campaign structure.</w:t>
      </w:r>
    </w:p>
    <w:p w14:paraId="2AF5BC4A" w14:textId="77777777" w:rsidR="00D56636" w:rsidRDefault="00000000">
      <w:pPr>
        <w:spacing w:before="315" w:after="105" w:line="360" w:lineRule="auto"/>
        <w:ind w:left="-30"/>
      </w:pPr>
      <w:bookmarkStart w:id="10" w:name="executive_use"/>
      <w:r>
        <w:rPr>
          <w:rFonts w:eastAsia="Georgia" w:hAnsi="Georgia" w:cs="Georgia"/>
          <w:b/>
          <w:color w:val="000000"/>
          <w:sz w:val="24"/>
        </w:rPr>
        <w:t>Executive use</w:t>
      </w:r>
      <w:bookmarkEnd w:id="10"/>
    </w:p>
    <w:p w14:paraId="30453083" w14:textId="77777777" w:rsidR="00D56636" w:rsidRDefault="00000000">
      <w:pPr>
        <w:spacing w:after="210" w:line="360" w:lineRule="auto"/>
      </w:pPr>
      <w:r>
        <w:rPr>
          <w:rFonts w:eastAsia="Georgia" w:hAnsi="Georgia" w:cs="Georgia"/>
          <w:color w:val="000000"/>
        </w:rPr>
        <w:t>This checklist works well as:</w:t>
      </w:r>
    </w:p>
    <w:p w14:paraId="6962CBF5" w14:textId="77777777" w:rsidR="00D56636" w:rsidRDefault="00000000">
      <w:pPr>
        <w:numPr>
          <w:ilvl w:val="0"/>
          <w:numId w:val="8"/>
        </w:numPr>
        <w:spacing w:before="105" w:after="105" w:line="360" w:lineRule="auto"/>
      </w:pPr>
      <w:r>
        <w:rPr>
          <w:rFonts w:eastAsia="Georgia" w:hAnsi="Georgia" w:cs="Georgia"/>
          <w:color w:val="000000"/>
        </w:rPr>
        <w:t>A CMO working session tool</w:t>
      </w:r>
    </w:p>
    <w:p w14:paraId="0E3762F4" w14:textId="77777777" w:rsidR="00D56636" w:rsidRDefault="00000000">
      <w:pPr>
        <w:numPr>
          <w:ilvl w:val="0"/>
          <w:numId w:val="8"/>
        </w:numPr>
        <w:spacing w:before="105" w:after="105" w:line="360" w:lineRule="auto"/>
      </w:pPr>
      <w:r>
        <w:rPr>
          <w:rFonts w:eastAsia="Georgia" w:hAnsi="Georgia" w:cs="Georgia"/>
          <w:color w:val="000000"/>
        </w:rPr>
        <w:t>A board or CEO briefing appendix</w:t>
      </w:r>
    </w:p>
    <w:p w14:paraId="7DDBE229" w14:textId="77777777" w:rsidR="00D56636" w:rsidRDefault="00000000">
      <w:pPr>
        <w:numPr>
          <w:ilvl w:val="0"/>
          <w:numId w:val="8"/>
        </w:numPr>
        <w:spacing w:before="105" w:after="105" w:line="360" w:lineRule="auto"/>
      </w:pPr>
      <w:r>
        <w:rPr>
          <w:rFonts w:eastAsia="Georgia" w:hAnsi="Georgia" w:cs="Georgia"/>
          <w:color w:val="000000"/>
        </w:rPr>
        <w:t>A cross-functional sprint document</w:t>
      </w:r>
    </w:p>
    <w:p w14:paraId="77802F95" w14:textId="77777777" w:rsidR="00D56636" w:rsidRDefault="00000000">
      <w:pPr>
        <w:numPr>
          <w:ilvl w:val="0"/>
          <w:numId w:val="8"/>
        </w:numPr>
        <w:spacing w:before="105" w:after="105" w:line="360" w:lineRule="auto"/>
      </w:pPr>
      <w:r>
        <w:rPr>
          <w:rFonts w:eastAsia="Georgia" w:hAnsi="Georgia" w:cs="Georgia"/>
          <w:color w:val="000000"/>
        </w:rPr>
        <w:t>A team audit worksheet for Q2 and Q3 planning</w:t>
      </w:r>
    </w:p>
    <w:sectPr w:rsidR="00D56636">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6F70"/>
    <w:multiLevelType w:val="hybridMultilevel"/>
    <w:tmpl w:val="57A0FB98"/>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9022F3"/>
    <w:multiLevelType w:val="hybridMultilevel"/>
    <w:tmpl w:val="DFBCD1DA"/>
    <w:lvl w:ilvl="0" w:tplc="2C923C6A">
      <w:start w:val="1"/>
      <w:numFmt w:val="bullet"/>
      <w:lvlText w:val=""/>
      <w:lvlJc w:val="left"/>
      <w:pPr>
        <w:tabs>
          <w:tab w:val="num" w:pos="900"/>
        </w:tabs>
        <w:ind w:left="540" w:hanging="360"/>
      </w:pPr>
      <w:rPr>
        <w:rFonts w:ascii="Symbol" w:hAnsi="Symbol" w:hint="default"/>
      </w:rPr>
    </w:lvl>
    <w:lvl w:ilvl="1" w:tplc="38E8980E">
      <w:numFmt w:val="decimal"/>
      <w:lvlText w:val=""/>
      <w:lvlJc w:val="left"/>
    </w:lvl>
    <w:lvl w:ilvl="2" w:tplc="EB605C4E">
      <w:numFmt w:val="decimal"/>
      <w:lvlText w:val=""/>
      <w:lvlJc w:val="left"/>
    </w:lvl>
    <w:lvl w:ilvl="3" w:tplc="87846DBE">
      <w:numFmt w:val="decimal"/>
      <w:lvlText w:val=""/>
      <w:lvlJc w:val="left"/>
    </w:lvl>
    <w:lvl w:ilvl="4" w:tplc="8FE6ED06">
      <w:numFmt w:val="decimal"/>
      <w:lvlText w:val=""/>
      <w:lvlJc w:val="left"/>
    </w:lvl>
    <w:lvl w:ilvl="5" w:tplc="C906729A">
      <w:numFmt w:val="decimal"/>
      <w:lvlText w:val=""/>
      <w:lvlJc w:val="left"/>
    </w:lvl>
    <w:lvl w:ilvl="6" w:tplc="FFB66DE2">
      <w:numFmt w:val="decimal"/>
      <w:lvlText w:val=""/>
      <w:lvlJc w:val="left"/>
    </w:lvl>
    <w:lvl w:ilvl="7" w:tplc="098A3B94">
      <w:numFmt w:val="decimal"/>
      <w:lvlText w:val=""/>
      <w:lvlJc w:val="left"/>
    </w:lvl>
    <w:lvl w:ilvl="8" w:tplc="18CC9584">
      <w:numFmt w:val="decimal"/>
      <w:lvlText w:val=""/>
      <w:lvlJc w:val="left"/>
    </w:lvl>
  </w:abstractNum>
  <w:abstractNum w:abstractNumId="2" w15:restartNumberingAfterBreak="0">
    <w:nsid w:val="07811594"/>
    <w:multiLevelType w:val="hybridMultilevel"/>
    <w:tmpl w:val="0C88F866"/>
    <w:lvl w:ilvl="0" w:tplc="1048F9AE">
      <w:start w:val="1"/>
      <w:numFmt w:val="bullet"/>
      <w:lvlText w:val=""/>
      <w:lvlJc w:val="left"/>
      <w:pPr>
        <w:tabs>
          <w:tab w:val="num" w:pos="900"/>
        </w:tabs>
        <w:ind w:left="540" w:hanging="360"/>
      </w:pPr>
      <w:rPr>
        <w:rFonts w:ascii="Symbol" w:hAnsi="Symbol" w:hint="default"/>
      </w:rPr>
    </w:lvl>
    <w:lvl w:ilvl="1" w:tplc="12B27EFA">
      <w:numFmt w:val="decimal"/>
      <w:lvlText w:val=""/>
      <w:lvlJc w:val="left"/>
    </w:lvl>
    <w:lvl w:ilvl="2" w:tplc="C7848F3A">
      <w:numFmt w:val="decimal"/>
      <w:lvlText w:val=""/>
      <w:lvlJc w:val="left"/>
    </w:lvl>
    <w:lvl w:ilvl="3" w:tplc="2D2C7BEA">
      <w:numFmt w:val="decimal"/>
      <w:lvlText w:val=""/>
      <w:lvlJc w:val="left"/>
    </w:lvl>
    <w:lvl w:ilvl="4" w:tplc="248C7B82">
      <w:numFmt w:val="decimal"/>
      <w:lvlText w:val=""/>
      <w:lvlJc w:val="left"/>
    </w:lvl>
    <w:lvl w:ilvl="5" w:tplc="959C18D0">
      <w:numFmt w:val="decimal"/>
      <w:lvlText w:val=""/>
      <w:lvlJc w:val="left"/>
    </w:lvl>
    <w:lvl w:ilvl="6" w:tplc="415000BC">
      <w:numFmt w:val="decimal"/>
      <w:lvlText w:val=""/>
      <w:lvlJc w:val="left"/>
    </w:lvl>
    <w:lvl w:ilvl="7" w:tplc="7332C5D6">
      <w:numFmt w:val="decimal"/>
      <w:lvlText w:val=""/>
      <w:lvlJc w:val="left"/>
    </w:lvl>
    <w:lvl w:ilvl="8" w:tplc="1F74FE2A">
      <w:numFmt w:val="decimal"/>
      <w:lvlText w:val=""/>
      <w:lvlJc w:val="left"/>
    </w:lvl>
  </w:abstractNum>
  <w:abstractNum w:abstractNumId="3" w15:restartNumberingAfterBreak="0">
    <w:nsid w:val="078B10FA"/>
    <w:multiLevelType w:val="hybridMultilevel"/>
    <w:tmpl w:val="274010F4"/>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79C72D5"/>
    <w:multiLevelType w:val="hybridMultilevel"/>
    <w:tmpl w:val="EC147360"/>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FAF26FB"/>
    <w:multiLevelType w:val="hybridMultilevel"/>
    <w:tmpl w:val="808283EA"/>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52D677E"/>
    <w:multiLevelType w:val="hybridMultilevel"/>
    <w:tmpl w:val="D548C8FC"/>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0467B34"/>
    <w:multiLevelType w:val="hybridMultilevel"/>
    <w:tmpl w:val="A27880E6"/>
    <w:lvl w:ilvl="0" w:tplc="6FF22C22">
      <w:start w:val="1"/>
      <w:numFmt w:val="bullet"/>
      <w:lvlText w:val=""/>
      <w:lvlJc w:val="left"/>
      <w:pPr>
        <w:tabs>
          <w:tab w:val="num" w:pos="900"/>
        </w:tabs>
        <w:ind w:left="540" w:hanging="360"/>
      </w:pPr>
      <w:rPr>
        <w:rFonts w:ascii="Symbol" w:hAnsi="Symbol" w:hint="default"/>
      </w:rPr>
    </w:lvl>
    <w:lvl w:ilvl="1" w:tplc="72F22D94">
      <w:numFmt w:val="decimal"/>
      <w:lvlText w:val=""/>
      <w:lvlJc w:val="left"/>
    </w:lvl>
    <w:lvl w:ilvl="2" w:tplc="0986D616">
      <w:numFmt w:val="decimal"/>
      <w:lvlText w:val=""/>
      <w:lvlJc w:val="left"/>
    </w:lvl>
    <w:lvl w:ilvl="3" w:tplc="9B6620C8">
      <w:numFmt w:val="decimal"/>
      <w:lvlText w:val=""/>
      <w:lvlJc w:val="left"/>
    </w:lvl>
    <w:lvl w:ilvl="4" w:tplc="EF1EE888">
      <w:numFmt w:val="decimal"/>
      <w:lvlText w:val=""/>
      <w:lvlJc w:val="left"/>
    </w:lvl>
    <w:lvl w:ilvl="5" w:tplc="5218DCE2">
      <w:numFmt w:val="decimal"/>
      <w:lvlText w:val=""/>
      <w:lvlJc w:val="left"/>
    </w:lvl>
    <w:lvl w:ilvl="6" w:tplc="7F72C524">
      <w:numFmt w:val="decimal"/>
      <w:lvlText w:val=""/>
      <w:lvlJc w:val="left"/>
    </w:lvl>
    <w:lvl w:ilvl="7" w:tplc="8C56246C">
      <w:numFmt w:val="decimal"/>
      <w:lvlText w:val=""/>
      <w:lvlJc w:val="left"/>
    </w:lvl>
    <w:lvl w:ilvl="8" w:tplc="A98AB6FC">
      <w:numFmt w:val="decimal"/>
      <w:lvlText w:val=""/>
      <w:lvlJc w:val="left"/>
    </w:lvl>
  </w:abstractNum>
  <w:abstractNum w:abstractNumId="8" w15:restartNumberingAfterBreak="0">
    <w:nsid w:val="40C16254"/>
    <w:multiLevelType w:val="hybridMultilevel"/>
    <w:tmpl w:val="18141CB0"/>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43362B3A"/>
    <w:multiLevelType w:val="hybridMultilevel"/>
    <w:tmpl w:val="A9107100"/>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7D33BD5"/>
    <w:multiLevelType w:val="hybridMultilevel"/>
    <w:tmpl w:val="8D2A09B4"/>
    <w:lvl w:ilvl="0" w:tplc="87D80CD4">
      <w:start w:val="1"/>
      <w:numFmt w:val="bullet"/>
      <w:lvlText w:val=""/>
      <w:lvlJc w:val="left"/>
      <w:pPr>
        <w:tabs>
          <w:tab w:val="num" w:pos="900"/>
        </w:tabs>
        <w:ind w:left="5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5D991107"/>
    <w:multiLevelType w:val="hybridMultilevel"/>
    <w:tmpl w:val="EA625856"/>
    <w:lvl w:ilvl="0" w:tplc="4CA840AC">
      <w:start w:val="1"/>
      <w:numFmt w:val="bullet"/>
      <w:lvlText w:val=""/>
      <w:lvlJc w:val="left"/>
      <w:pPr>
        <w:tabs>
          <w:tab w:val="num" w:pos="900"/>
        </w:tabs>
        <w:ind w:left="540" w:hanging="360"/>
      </w:pPr>
      <w:rPr>
        <w:rFonts w:ascii="Symbol" w:hAnsi="Symbol" w:hint="default"/>
      </w:rPr>
    </w:lvl>
    <w:lvl w:ilvl="1" w:tplc="936E4BA8">
      <w:numFmt w:val="decimal"/>
      <w:lvlText w:val=""/>
      <w:lvlJc w:val="left"/>
    </w:lvl>
    <w:lvl w:ilvl="2" w:tplc="E0526974">
      <w:numFmt w:val="decimal"/>
      <w:lvlText w:val=""/>
      <w:lvlJc w:val="left"/>
    </w:lvl>
    <w:lvl w:ilvl="3" w:tplc="FE1AE434">
      <w:numFmt w:val="decimal"/>
      <w:lvlText w:val=""/>
      <w:lvlJc w:val="left"/>
    </w:lvl>
    <w:lvl w:ilvl="4" w:tplc="4508D3F0">
      <w:numFmt w:val="decimal"/>
      <w:lvlText w:val=""/>
      <w:lvlJc w:val="left"/>
    </w:lvl>
    <w:lvl w:ilvl="5" w:tplc="4E5C9D3A">
      <w:numFmt w:val="decimal"/>
      <w:lvlText w:val=""/>
      <w:lvlJc w:val="left"/>
    </w:lvl>
    <w:lvl w:ilvl="6" w:tplc="38E62F38">
      <w:numFmt w:val="decimal"/>
      <w:lvlText w:val=""/>
      <w:lvlJc w:val="left"/>
    </w:lvl>
    <w:lvl w:ilvl="7" w:tplc="E7EE3ECC">
      <w:numFmt w:val="decimal"/>
      <w:lvlText w:val=""/>
      <w:lvlJc w:val="left"/>
    </w:lvl>
    <w:lvl w:ilvl="8" w:tplc="68A61EA8">
      <w:numFmt w:val="decimal"/>
      <w:lvlText w:val=""/>
      <w:lvlJc w:val="left"/>
    </w:lvl>
  </w:abstractNum>
  <w:abstractNum w:abstractNumId="12" w15:restartNumberingAfterBreak="0">
    <w:nsid w:val="5DA84B31"/>
    <w:multiLevelType w:val="hybridMultilevel"/>
    <w:tmpl w:val="B70E09FA"/>
    <w:lvl w:ilvl="0" w:tplc="FE1AC81E">
      <w:start w:val="1"/>
      <w:numFmt w:val="bullet"/>
      <w:lvlText w:val=""/>
      <w:lvlJc w:val="left"/>
      <w:pPr>
        <w:tabs>
          <w:tab w:val="num" w:pos="900"/>
        </w:tabs>
        <w:ind w:left="540" w:hanging="360"/>
      </w:pPr>
      <w:rPr>
        <w:rFonts w:ascii="Symbol" w:hAnsi="Symbol" w:hint="default"/>
      </w:rPr>
    </w:lvl>
    <w:lvl w:ilvl="1" w:tplc="9E7ECE36">
      <w:numFmt w:val="decimal"/>
      <w:lvlText w:val=""/>
      <w:lvlJc w:val="left"/>
    </w:lvl>
    <w:lvl w:ilvl="2" w:tplc="ACCC7D50">
      <w:numFmt w:val="decimal"/>
      <w:lvlText w:val=""/>
      <w:lvlJc w:val="left"/>
    </w:lvl>
    <w:lvl w:ilvl="3" w:tplc="D6CE3BF4">
      <w:numFmt w:val="decimal"/>
      <w:lvlText w:val=""/>
      <w:lvlJc w:val="left"/>
    </w:lvl>
    <w:lvl w:ilvl="4" w:tplc="56B27A5E">
      <w:numFmt w:val="decimal"/>
      <w:lvlText w:val=""/>
      <w:lvlJc w:val="left"/>
    </w:lvl>
    <w:lvl w:ilvl="5" w:tplc="05BC576C">
      <w:numFmt w:val="decimal"/>
      <w:lvlText w:val=""/>
      <w:lvlJc w:val="left"/>
    </w:lvl>
    <w:lvl w:ilvl="6" w:tplc="4E78BAC4">
      <w:numFmt w:val="decimal"/>
      <w:lvlText w:val=""/>
      <w:lvlJc w:val="left"/>
    </w:lvl>
    <w:lvl w:ilvl="7" w:tplc="90C2F180">
      <w:numFmt w:val="decimal"/>
      <w:lvlText w:val=""/>
      <w:lvlJc w:val="left"/>
    </w:lvl>
    <w:lvl w:ilvl="8" w:tplc="64E07AAE">
      <w:numFmt w:val="decimal"/>
      <w:lvlText w:val=""/>
      <w:lvlJc w:val="left"/>
    </w:lvl>
  </w:abstractNum>
  <w:abstractNum w:abstractNumId="13" w15:restartNumberingAfterBreak="0">
    <w:nsid w:val="645137A3"/>
    <w:multiLevelType w:val="hybridMultilevel"/>
    <w:tmpl w:val="5A7CA01C"/>
    <w:lvl w:ilvl="0" w:tplc="FDB219D0">
      <w:start w:val="1"/>
      <w:numFmt w:val="bullet"/>
      <w:lvlText w:val=""/>
      <w:lvlJc w:val="left"/>
      <w:pPr>
        <w:tabs>
          <w:tab w:val="num" w:pos="900"/>
        </w:tabs>
        <w:ind w:left="540" w:hanging="360"/>
      </w:pPr>
      <w:rPr>
        <w:rFonts w:ascii="Symbol" w:hAnsi="Symbol" w:hint="default"/>
      </w:rPr>
    </w:lvl>
    <w:lvl w:ilvl="1" w:tplc="81FAECEE">
      <w:numFmt w:val="decimal"/>
      <w:lvlText w:val=""/>
      <w:lvlJc w:val="left"/>
    </w:lvl>
    <w:lvl w:ilvl="2" w:tplc="1AB609F2">
      <w:numFmt w:val="decimal"/>
      <w:lvlText w:val=""/>
      <w:lvlJc w:val="left"/>
    </w:lvl>
    <w:lvl w:ilvl="3" w:tplc="EC80A952">
      <w:numFmt w:val="decimal"/>
      <w:lvlText w:val=""/>
      <w:lvlJc w:val="left"/>
    </w:lvl>
    <w:lvl w:ilvl="4" w:tplc="3E7478CA">
      <w:numFmt w:val="decimal"/>
      <w:lvlText w:val=""/>
      <w:lvlJc w:val="left"/>
    </w:lvl>
    <w:lvl w:ilvl="5" w:tplc="4E3820D8">
      <w:numFmt w:val="decimal"/>
      <w:lvlText w:val=""/>
      <w:lvlJc w:val="left"/>
    </w:lvl>
    <w:lvl w:ilvl="6" w:tplc="47144F6C">
      <w:numFmt w:val="decimal"/>
      <w:lvlText w:val=""/>
      <w:lvlJc w:val="left"/>
    </w:lvl>
    <w:lvl w:ilvl="7" w:tplc="3AFAEDDC">
      <w:numFmt w:val="decimal"/>
      <w:lvlText w:val=""/>
      <w:lvlJc w:val="left"/>
    </w:lvl>
    <w:lvl w:ilvl="8" w:tplc="CCC8CD18">
      <w:numFmt w:val="decimal"/>
      <w:lvlText w:val=""/>
      <w:lvlJc w:val="left"/>
    </w:lvl>
  </w:abstractNum>
  <w:abstractNum w:abstractNumId="14" w15:restartNumberingAfterBreak="0">
    <w:nsid w:val="6A68790E"/>
    <w:multiLevelType w:val="hybridMultilevel"/>
    <w:tmpl w:val="E5E6576A"/>
    <w:lvl w:ilvl="0" w:tplc="E2BC09D0">
      <w:start w:val="1"/>
      <w:numFmt w:val="bullet"/>
      <w:lvlText w:val=""/>
      <w:lvlJc w:val="left"/>
      <w:pPr>
        <w:tabs>
          <w:tab w:val="num" w:pos="900"/>
        </w:tabs>
        <w:ind w:left="540" w:hanging="360"/>
      </w:pPr>
      <w:rPr>
        <w:rFonts w:ascii="Symbol" w:hAnsi="Symbol" w:hint="default"/>
      </w:rPr>
    </w:lvl>
    <w:lvl w:ilvl="1" w:tplc="DE8069D0">
      <w:numFmt w:val="decimal"/>
      <w:lvlText w:val=""/>
      <w:lvlJc w:val="left"/>
    </w:lvl>
    <w:lvl w:ilvl="2" w:tplc="C2B06ACE">
      <w:numFmt w:val="decimal"/>
      <w:lvlText w:val=""/>
      <w:lvlJc w:val="left"/>
    </w:lvl>
    <w:lvl w:ilvl="3" w:tplc="F6C0A42C">
      <w:numFmt w:val="decimal"/>
      <w:lvlText w:val=""/>
      <w:lvlJc w:val="left"/>
    </w:lvl>
    <w:lvl w:ilvl="4" w:tplc="DBA02794">
      <w:numFmt w:val="decimal"/>
      <w:lvlText w:val=""/>
      <w:lvlJc w:val="left"/>
    </w:lvl>
    <w:lvl w:ilvl="5" w:tplc="D8388320">
      <w:numFmt w:val="decimal"/>
      <w:lvlText w:val=""/>
      <w:lvlJc w:val="left"/>
    </w:lvl>
    <w:lvl w:ilvl="6" w:tplc="F564AFF8">
      <w:numFmt w:val="decimal"/>
      <w:lvlText w:val=""/>
      <w:lvlJc w:val="left"/>
    </w:lvl>
    <w:lvl w:ilvl="7" w:tplc="2F181F2A">
      <w:numFmt w:val="decimal"/>
      <w:lvlText w:val=""/>
      <w:lvlJc w:val="left"/>
    </w:lvl>
    <w:lvl w:ilvl="8" w:tplc="ECC4B614">
      <w:numFmt w:val="decimal"/>
      <w:lvlText w:val=""/>
      <w:lvlJc w:val="left"/>
    </w:lvl>
  </w:abstractNum>
  <w:abstractNum w:abstractNumId="15" w15:restartNumberingAfterBreak="0">
    <w:nsid w:val="73B6532B"/>
    <w:multiLevelType w:val="hybridMultilevel"/>
    <w:tmpl w:val="D360A3CA"/>
    <w:lvl w:ilvl="0" w:tplc="168A15B4">
      <w:start w:val="1"/>
      <w:numFmt w:val="bullet"/>
      <w:lvlText w:val=""/>
      <w:lvlJc w:val="left"/>
      <w:pPr>
        <w:tabs>
          <w:tab w:val="num" w:pos="900"/>
        </w:tabs>
        <w:ind w:left="540" w:hanging="360"/>
      </w:pPr>
      <w:rPr>
        <w:rFonts w:ascii="Symbol" w:hAnsi="Symbol" w:hint="default"/>
      </w:rPr>
    </w:lvl>
    <w:lvl w:ilvl="1" w:tplc="EDDE0482">
      <w:numFmt w:val="decimal"/>
      <w:lvlText w:val=""/>
      <w:lvlJc w:val="left"/>
    </w:lvl>
    <w:lvl w:ilvl="2" w:tplc="654C981C">
      <w:numFmt w:val="decimal"/>
      <w:lvlText w:val=""/>
      <w:lvlJc w:val="left"/>
    </w:lvl>
    <w:lvl w:ilvl="3" w:tplc="0D5E26DA">
      <w:numFmt w:val="decimal"/>
      <w:lvlText w:val=""/>
      <w:lvlJc w:val="left"/>
    </w:lvl>
    <w:lvl w:ilvl="4" w:tplc="D08AB624">
      <w:numFmt w:val="decimal"/>
      <w:lvlText w:val=""/>
      <w:lvlJc w:val="left"/>
    </w:lvl>
    <w:lvl w:ilvl="5" w:tplc="1108B3EE">
      <w:numFmt w:val="decimal"/>
      <w:lvlText w:val=""/>
      <w:lvlJc w:val="left"/>
    </w:lvl>
    <w:lvl w:ilvl="6" w:tplc="341432A6">
      <w:numFmt w:val="decimal"/>
      <w:lvlText w:val=""/>
      <w:lvlJc w:val="left"/>
    </w:lvl>
    <w:lvl w:ilvl="7" w:tplc="5532C152">
      <w:numFmt w:val="decimal"/>
      <w:lvlText w:val=""/>
      <w:lvlJc w:val="left"/>
    </w:lvl>
    <w:lvl w:ilvl="8" w:tplc="F30EF8E8">
      <w:numFmt w:val="decimal"/>
      <w:lvlText w:val=""/>
      <w:lvlJc w:val="left"/>
    </w:lvl>
  </w:abstractNum>
  <w:num w:numId="1" w16cid:durableId="2073772658">
    <w:abstractNumId w:val="11"/>
  </w:num>
  <w:num w:numId="2" w16cid:durableId="954487422">
    <w:abstractNumId w:val="15"/>
  </w:num>
  <w:num w:numId="3" w16cid:durableId="1220937912">
    <w:abstractNumId w:val="7"/>
  </w:num>
  <w:num w:numId="4" w16cid:durableId="297493821">
    <w:abstractNumId w:val="12"/>
  </w:num>
  <w:num w:numId="5" w16cid:durableId="1535843327">
    <w:abstractNumId w:val="14"/>
  </w:num>
  <w:num w:numId="6" w16cid:durableId="1848901991">
    <w:abstractNumId w:val="2"/>
  </w:num>
  <w:num w:numId="7" w16cid:durableId="63258873">
    <w:abstractNumId w:val="1"/>
  </w:num>
  <w:num w:numId="8" w16cid:durableId="623467722">
    <w:abstractNumId w:val="13"/>
  </w:num>
  <w:num w:numId="9" w16cid:durableId="537013212">
    <w:abstractNumId w:val="5"/>
  </w:num>
  <w:num w:numId="10" w16cid:durableId="398678256">
    <w:abstractNumId w:val="10"/>
  </w:num>
  <w:num w:numId="11" w16cid:durableId="2043086657">
    <w:abstractNumId w:val="8"/>
  </w:num>
  <w:num w:numId="12" w16cid:durableId="569467415">
    <w:abstractNumId w:val="6"/>
  </w:num>
  <w:num w:numId="13" w16cid:durableId="738403286">
    <w:abstractNumId w:val="4"/>
  </w:num>
  <w:num w:numId="14" w16cid:durableId="429396964">
    <w:abstractNumId w:val="9"/>
  </w:num>
  <w:num w:numId="15" w16cid:durableId="1996882944">
    <w:abstractNumId w:val="3"/>
  </w:num>
  <w:num w:numId="16" w16cid:durableId="17340388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636"/>
    <w:rsid w:val="00472836"/>
    <w:rsid w:val="004E77A6"/>
    <w:rsid w:val="00600CBD"/>
    <w:rsid w:val="00D56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3F915"/>
  <w15:docId w15:val="{8177D23C-2EA8-48C5-AF45-E38E1B0E5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paragraph" w:styleId="ListParagraph">
    <w:name w:val="List Paragraph"/>
    <w:basedOn w:val="Normal"/>
    <w:uiPriority w:val="34"/>
    <w:qFormat/>
    <w:rsid w:val="004E77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648</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Bowling</dc:creator>
  <cp:keywords>html-to-docx</cp:keywords>
  <dc:description/>
  <cp:lastModifiedBy>Robin Bowling</cp:lastModifiedBy>
  <cp:revision>2</cp:revision>
  <dcterms:created xsi:type="dcterms:W3CDTF">2026-04-21T15:41:00Z</dcterms:created>
  <dcterms:modified xsi:type="dcterms:W3CDTF">2026-04-21T15:41:00Z</dcterms:modified>
</cp:coreProperties>
</file>